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eastAsia="方正小标宋简体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eastAsia="仿宋_GB2312"/>
          <w:sz w:val="32"/>
          <w:szCs w:val="32"/>
        </w:rPr>
        <w:t>静城管</w:t>
      </w:r>
      <w:r>
        <w:rPr>
          <w:rFonts w:hint="eastAsia" w:eastAsia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年上海市静安区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城管执法系统教育培训计划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  <w:r>
        <w:rPr>
          <w:rFonts w:hint="eastAsia" w:eastAsia="仿宋_GB2312"/>
          <w:kern w:val="0"/>
          <w:sz w:val="34"/>
          <w:szCs w:val="34"/>
          <w:lang w:eastAsia="zh-CN"/>
        </w:rPr>
        <w:t>各</w:t>
      </w:r>
      <w:r>
        <w:rPr>
          <w:rFonts w:hint="eastAsia" w:eastAsia="仿宋_GB2312"/>
          <w:kern w:val="0"/>
          <w:sz w:val="34"/>
          <w:szCs w:val="34"/>
          <w:lang w:val="en-US" w:eastAsia="zh-CN"/>
        </w:rPr>
        <w:t>科室、机动执法中队、铁路上海站执法中队，各街镇综合行政执法队</w:t>
      </w:r>
      <w:r>
        <w:rPr>
          <w:rFonts w:hint="eastAsia" w:eastAsia="仿宋_GB2312"/>
          <w:kern w:val="0"/>
          <w:sz w:val="34"/>
          <w:szCs w:val="3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  <w:r>
        <w:rPr>
          <w:rFonts w:hint="eastAsia" w:eastAsia="仿宋_GB2312"/>
          <w:sz w:val="34"/>
          <w:szCs w:val="34"/>
        </w:rPr>
        <w:t>为推动</w:t>
      </w:r>
      <w:r>
        <w:rPr>
          <w:rFonts w:hint="eastAsia" w:eastAsia="仿宋_GB2312"/>
          <w:sz w:val="34"/>
          <w:szCs w:val="34"/>
          <w:lang w:val="en-US" w:eastAsia="zh-CN"/>
        </w:rPr>
        <w:t>静安区</w:t>
      </w:r>
      <w:r>
        <w:rPr>
          <w:rFonts w:hint="eastAsia" w:eastAsia="仿宋_GB2312"/>
          <w:sz w:val="34"/>
          <w:szCs w:val="34"/>
        </w:rPr>
        <w:t>城管执法教育培训</w:t>
      </w:r>
      <w:r>
        <w:rPr>
          <w:rFonts w:hint="eastAsia" w:eastAsia="仿宋_GB2312"/>
          <w:sz w:val="34"/>
          <w:szCs w:val="34"/>
          <w:lang w:eastAsia="zh-CN"/>
        </w:rPr>
        <w:t>工作</w:t>
      </w:r>
      <w:r>
        <w:rPr>
          <w:rFonts w:hint="eastAsia" w:eastAsia="仿宋_GB2312"/>
          <w:sz w:val="34"/>
          <w:szCs w:val="34"/>
        </w:rPr>
        <w:t>转型发展，建设高素质城管综合执法队伍，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根据《上海市城管执法系统教育培训三年行动计划》，我局制定了《2024年上海市静安区城管执法系统教育培训计划》并经局党组审议通过，现印发给你们，请认真贯彻执行。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both"/>
        <w:textAlignment w:val="auto"/>
        <w:rPr>
          <w:rFonts w:hint="eastAsia" w:ascii="Calibri" w:hAnsi="Calibri" w:eastAsia="仿宋_GB2312" w:cs="Times New Roman"/>
          <w:kern w:val="0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both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right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  <w:r>
        <w:rPr>
          <w:rFonts w:hint="eastAsia" w:eastAsia="仿宋_GB2312"/>
          <w:kern w:val="0"/>
          <w:sz w:val="34"/>
          <w:szCs w:val="34"/>
          <w:lang w:eastAsia="zh-CN"/>
        </w:rPr>
        <w:t>上海市静安区城市管理行政执法局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val="en-US" w:eastAsia="zh-CN"/>
        </w:rPr>
        <w:t>4月1</w:t>
      </w:r>
      <w:r>
        <w:rPr>
          <w:rFonts w:hint="eastAsia" w:eastAsia="仿宋_GB2312"/>
          <w:kern w:val="0"/>
          <w:sz w:val="34"/>
          <w:szCs w:val="34"/>
          <w:highlight w:val="none"/>
          <w:lang w:val="en-US" w:eastAsia="zh-CN"/>
        </w:rPr>
        <w:t>日</w:t>
      </w:r>
      <w:r>
        <w:rPr>
          <w:rFonts w:hint="eastAsia" w:eastAsia="仿宋_GB2312"/>
          <w:kern w:val="0"/>
          <w:sz w:val="34"/>
          <w:szCs w:val="3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2024年上海市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静安区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城管执法系统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育培训计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rPr>
          <w:rFonts w:hint="eastAsia"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为推动</w:t>
      </w:r>
      <w:r>
        <w:rPr>
          <w:rFonts w:hint="eastAsia" w:eastAsia="仿宋_GB2312"/>
          <w:sz w:val="34"/>
          <w:szCs w:val="34"/>
          <w:lang w:val="en-US" w:eastAsia="zh-CN"/>
        </w:rPr>
        <w:t>静安区</w:t>
      </w:r>
      <w:r>
        <w:rPr>
          <w:rFonts w:hint="eastAsia" w:eastAsia="仿宋_GB2312"/>
          <w:sz w:val="34"/>
          <w:szCs w:val="34"/>
        </w:rPr>
        <w:t>城管执法教育培训</w:t>
      </w:r>
      <w:r>
        <w:rPr>
          <w:rFonts w:hint="eastAsia" w:eastAsia="仿宋_GB2312"/>
          <w:sz w:val="34"/>
          <w:szCs w:val="34"/>
          <w:lang w:eastAsia="zh-CN"/>
        </w:rPr>
        <w:t>工作</w:t>
      </w:r>
      <w:r>
        <w:rPr>
          <w:rFonts w:hint="eastAsia" w:eastAsia="仿宋_GB2312"/>
          <w:sz w:val="34"/>
          <w:szCs w:val="34"/>
        </w:rPr>
        <w:t>转型发展，建设高素质城管综合执法队伍，</w:t>
      </w:r>
      <w:r>
        <w:rPr>
          <w:rFonts w:hint="eastAsia" w:ascii="仿宋_GB2312" w:hAnsi="仿宋_GB2312" w:eastAsia="仿宋_GB2312" w:cs="仿宋_GB2312"/>
          <w:sz w:val="34"/>
          <w:szCs w:val="34"/>
        </w:rPr>
        <w:t>现结合城管执法工作实际，制</w:t>
      </w:r>
      <w:r>
        <w:rPr>
          <w:rFonts w:hint="eastAsia" w:eastAsia="仿宋_GB2312"/>
          <w:sz w:val="34"/>
          <w:szCs w:val="34"/>
        </w:rPr>
        <w:t>定本年度</w:t>
      </w:r>
      <w:r>
        <w:rPr>
          <w:rFonts w:hint="eastAsia" w:eastAsia="仿宋_GB2312"/>
          <w:sz w:val="34"/>
          <w:szCs w:val="34"/>
          <w:lang w:eastAsia="zh-CN"/>
        </w:rPr>
        <w:t>教育培训计划。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rPr>
          <w:rFonts w:hint="eastAsia" w:eastAsia="黑体" w:cs="黑体"/>
          <w:sz w:val="34"/>
          <w:szCs w:val="34"/>
          <w:lang w:eastAsia="zh-CN"/>
        </w:rPr>
      </w:pPr>
      <w:r>
        <w:rPr>
          <w:rFonts w:hint="eastAsia" w:eastAsia="黑体" w:cs="黑体"/>
          <w:sz w:val="34"/>
          <w:szCs w:val="34"/>
          <w:lang w:eastAsia="zh-CN"/>
        </w:rPr>
        <w:t>一、</w:t>
      </w:r>
      <w:r>
        <w:rPr>
          <w:rFonts w:hint="eastAsia" w:eastAsia="黑体" w:cs="黑体"/>
          <w:sz w:val="34"/>
          <w:szCs w:val="34"/>
        </w:rPr>
        <w:t>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t>以习近平新时代</w:t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instrText xml:space="preserve"> HYPERLINK "https://baike.baidu.com/item/%E4%B8%AD%E5%9B%BD%E7%89%B9%E8%89%B2%E7%A4%BE%E4%BC%9A%E4%B8%BB%E4%B9%89/929612?fromModule=lemma_inlink" \t "https://baike.baidu.com/item/%E6%8F%90%E5%8D%87%E8%A1%8C%E6%94%BF%E6%89%A7%E6%B3%95%E8%B4%A8%E9%87%8F%E4%B8%89%E5%B9%B4%E8%A1%8C%E5%8A%A8%E8%AE%A1%E5%88%92%EF%BC%882023%E2%80%942025%E5%B9%B4%EF%BC%89/_blank" </w:instrText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t>中国特色社会主义</w:t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t>思想为指导，深入学习贯彻习近平法治思想，认真落实习近平总书记考察上海重要讲话精神，严格按照《法治政府建设实施纲要（2021-2025年）》《提升行政执法质量三年行动计划（2023—2025年）》部署要求，坚持系统、开放、创新理念，</w:t>
      </w:r>
      <w:r>
        <w:rPr>
          <w:rFonts w:hint="eastAsia" w:ascii="仿宋_GB2312" w:hAnsi="黑体" w:eastAsia="仿宋_GB2312" w:cs="仿宋_GB2312"/>
          <w:sz w:val="34"/>
          <w:szCs w:val="34"/>
          <w:lang w:eastAsia="zh-CN"/>
        </w:rPr>
        <w:t>以教育培训数字化转型为支撑点，以教育培训提质增效为出发点，以做强教学要素为突破口，以强化监督考核为主要手段，优化教学方式，创新教学内容，开放教学资源，强化教学管理，推行数字教学，</w:t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t>提高城管执法队伍能力素质，全面推进严格规范公正文明执法。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rPr>
          <w:rFonts w:hint="eastAsia" w:eastAsia="黑体"/>
          <w:sz w:val="34"/>
          <w:szCs w:val="34"/>
          <w:lang w:eastAsia="zh-CN"/>
        </w:rPr>
      </w:pPr>
      <w:r>
        <w:rPr>
          <w:rFonts w:hint="eastAsia" w:eastAsia="黑体"/>
          <w:sz w:val="34"/>
          <w:szCs w:val="34"/>
          <w:lang w:eastAsia="zh-CN"/>
        </w:rPr>
        <w:t>二</w:t>
      </w:r>
      <w:r>
        <w:rPr>
          <w:rFonts w:eastAsia="黑体"/>
          <w:sz w:val="34"/>
          <w:szCs w:val="34"/>
        </w:rPr>
        <w:t>、</w:t>
      </w:r>
      <w:r>
        <w:rPr>
          <w:rFonts w:hint="eastAsia" w:eastAsia="黑体"/>
          <w:sz w:val="34"/>
          <w:szCs w:val="34"/>
        </w:rPr>
        <w:t>重点任务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（一）完善教育培训制度机制。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坚持从实践中来、到实践中去的教培工作导向，建立全员培训为基础，关键岗位、关键人员培训为重点，教学、自学、互学相结合的教培模式，持续规范教学用管评考全流程管理制度。在确保区城管执法系统本轮三年行动计划任务全部完成的基础上，研究制定新一轮《教育培训三年行动计划（202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-202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）》，按照任务项目化、项目责任化的原则，形成新一轮任务清单和推进计划表。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3" w:firstLineChars="200"/>
        <w:rPr>
          <w:rFonts w:hint="eastAsia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（二）明确三级培训体系和任务。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市局、区局、街镇、综合执法队四方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三级</w:t>
      </w:r>
      <w:r>
        <w:rPr>
          <w:rFonts w:hint="eastAsia" w:eastAsia="仿宋_GB2312" w:cs="仿宋_GB2312"/>
          <w:sz w:val="34"/>
          <w:szCs w:val="34"/>
          <w:lang w:val="en-US" w:eastAsia="zh-CN"/>
        </w:rPr>
        <w:t>，深度融合的教育培训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体系，聚焦培训具体任务，落实分级分类培训工作。</w:t>
      </w:r>
      <w:r>
        <w:rPr>
          <w:rFonts w:hint="eastAsia" w:eastAsia="仿宋_GB2312" w:cs="仿宋_GB2312"/>
          <w:sz w:val="34"/>
          <w:szCs w:val="34"/>
          <w:lang w:val="en-US" w:eastAsia="zh-CN"/>
        </w:rPr>
        <w:t>形成“20+15+X+2”的培训任务清单，其中：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eastAsia="仿宋_GB2312" w:cs="仿宋_GB2312"/>
          <w:sz w:val="34"/>
          <w:szCs w:val="34"/>
          <w:lang w:val="en-US" w:eastAsia="zh-CN"/>
        </w:rPr>
      </w:pPr>
      <w:r>
        <w:rPr>
          <w:rFonts w:hint="eastAsia" w:eastAsia="仿宋_GB2312" w:cs="仿宋_GB2312"/>
          <w:sz w:val="34"/>
          <w:szCs w:val="34"/>
          <w:lang w:val="en-US" w:eastAsia="zh-CN"/>
        </w:rPr>
        <w:t>“20”即配合落实由市局组织开展的对各区城管执法系统全年17项集中培训、1项全员网训（24学时12学分）、1项市级队列会操和1项执法考试共20项市级规定培训任务。（见附件）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eastAsia="仿宋_GB2312" w:cs="仿宋_GB2312"/>
          <w:sz w:val="34"/>
          <w:szCs w:val="34"/>
          <w:lang w:val="en-US" w:eastAsia="zh-CN"/>
        </w:rPr>
      </w:pPr>
      <w:r>
        <w:rPr>
          <w:rFonts w:hint="eastAsia" w:eastAsia="仿宋_GB2312" w:cs="仿宋_GB2312"/>
          <w:sz w:val="34"/>
          <w:szCs w:val="34"/>
          <w:lang w:val="en-US" w:eastAsia="zh-CN"/>
        </w:rPr>
        <w:t>“15”即区局组织完成全员普训（24学时12学分）、区级队列会操2项区级规定培训任务，12项区局细分培训对象和需求自主开展的“小、专、精”专题培训任务，以及1项体能测试专项任务。“X”即根据年内工作开展情况和实际培训需求可能增加的其它培训任务。（见附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eastAsia="仿宋_GB2312" w:cs="仿宋_GB2312"/>
          <w:sz w:val="34"/>
          <w:szCs w:val="34"/>
          <w:lang w:val="en-US" w:eastAsia="zh-CN"/>
        </w:rPr>
      </w:pPr>
      <w:r>
        <w:rPr>
          <w:rFonts w:hint="eastAsia" w:eastAsia="仿宋_GB2312" w:cs="仿宋_GB2312"/>
          <w:sz w:val="34"/>
          <w:szCs w:val="34"/>
          <w:lang w:val="en-US" w:eastAsia="zh-CN"/>
        </w:rPr>
        <w:t>“2”即指导督促各中队按照市、区每月下发的培训内容完成科队培训（12学时）任务以及完成每月2次队列训练任务。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eastAsia="仿宋_GB2312" w:cs="仿宋_GB2312"/>
          <w:sz w:val="34"/>
          <w:szCs w:val="34"/>
          <w:lang w:val="en-US" w:eastAsia="zh-CN"/>
        </w:rPr>
        <w:t>通过培训清单对账销项模式，确保区城管执法系统保质保量全面完成市局60学时24学分量化指标和各项培训工作任务。并对照市局集中培训批次、形式，开展实现全区城管执法人员和街镇、司法所审核审批人员、相关领导干部的全覆盖培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3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（三）优化教育培训内容方式。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探索形成贴近实际、服务实践、支撑实务的培训资源、内容、目录标准。内容上讲实用，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坚持政治引领，精准开设政治热点、政策形势解读课程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，增强政治三力。强化法制属性，聚焦主责主业，根据历年培训经验，综合受训对象反馈的培训需求，保证法治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课程设置占比大于70%，并涵盖实务教学、案例教学、实操课程等，力求做到法治理论和法治实务能力同步提升。形式上讲实效，根据市局教培计划要求，按需采用线下封闭式培训、集中培训、网上培训等不同形式开展。管理上讲实际，针对培训活动报备、勤务报备、培训签到、记录、考评等各个环节，实现事前组织、过程监管、事后评价的全流程闭环管理，并按规定进行网上培训模块的应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同时，根据市局关于会操考核、教官评定及日常队列训练的要求，选定专门队列教官，明确于10月前开展一次区级全员会操，中队每月进行两次不少于20分钟的日常队列训练，每次覆盖至少70%在职人员，两次覆盖中队所有在职人员（大病及不适合训练人员除外）的训练任务，做到应训尽训、全程录像，并根据完成情况在绩效考核中给予梯度评价，鼓励先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auto"/>
          <w:sz w:val="34"/>
          <w:szCs w:val="34"/>
          <w:lang w:val="en-US" w:eastAsia="zh-CN"/>
        </w:rPr>
        <w:t>（四）推进数字化教培实践工作。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强化上海城管教培APP使用，根据上海城管app教育培训数字化模块，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针对线下集训、科队学习、队列训练、移动应用等形成一份操作指南，并随模块建设及时更新，提升中队教培程序用能力，确保实际教培工作与市局接受数据反馈一致合规。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强化智慧教室建设，根据网训平台建设和智慧教室创建要求，年内形成一端三库的在线培训格局，即一个在线教学终端和一个师资库、一个课件库、一个案件库的三个在线资源库，初步实现既能远程教学，又能实现学员全时段可检索、可回看的网训平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拓展数字化运用场景。通过执法记录仪拍摄、智能语音编辑制作文书、案件在线办理、非现场执法手段运用等方式，推进执法工作数字化提效和数据留痕工作，为推进办案实操、办案回看、办案直播教学等方式打好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（五）提升培训师资和课程质量。</w:t>
      </w:r>
      <w:r>
        <w:rPr>
          <w:rFonts w:hint="eastAsia" w:ascii="仿宋_GB2312" w:hAnsi="仿宋_GB2312" w:eastAsia="仿宋_GB2312" w:cs="仿宋_GB2312"/>
          <w:sz w:val="34"/>
          <w:szCs w:val="34"/>
        </w:rPr>
        <w:t>增强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市局师资库、法律院校、党校、干部学院等</w:t>
      </w:r>
      <w:r>
        <w:rPr>
          <w:rFonts w:hint="eastAsia" w:ascii="仿宋_GB2312" w:hAnsi="仿宋_GB2312" w:eastAsia="仿宋_GB2312" w:cs="仿宋_GB2312"/>
          <w:sz w:val="34"/>
          <w:szCs w:val="34"/>
        </w:rPr>
        <w:t>外部师资的使用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每批次培训至少邀请一名外部师资，拓展学员视野和格局。深化诚挚党建品牌，从课程内容上推进党建与业务工作相融合。开展“一中队、两讲师、两课件”工作和优秀案例、指导案例遴选工作，并纳入绩效考核，培养中队领导干部和优秀人才自主教学能力，充实区局师资库、课程库和案例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强化实践教学基地建设，将教学基地创建和使用纳入考核，鼓励申报，对已建成的基地，有序完成师资和课程库更新，并作为年轻队员法治交流、法治研讨、法治成果转化的平台，增强法治工作活力。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年内选聘不少于3名区局师资，参与到市级师资评选工作，同引进的优秀外部师资一道，向区基层治理骨干培训计划、各街镇城管工作关联组织等输出城管领域讲师和课程，以内部培训叠加外部宣教方式促进政民共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（六）强化常态化事前事中指导。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用好法制机构、公职律师、法制员、案审员等业务骨干和办案能手，开展“送教入队”工作，坚持边走访、边指导、边调研，及时掌握一线执法动态、解决难题顽症，通过每月法制例会、案件评查，管执联学、跨区联学，法制论坛、案件共商互评，落实庭审“三合一”工作等方式，发现和解决一批难题顽症，预判和化解一批法律风险，为辖区城管执法工作平稳高效推进提供法制化保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rPr>
          <w:rFonts w:hint="eastAsia" w:eastAsia="黑体"/>
          <w:sz w:val="34"/>
          <w:szCs w:val="34"/>
          <w:lang w:eastAsia="zh-CN"/>
        </w:rPr>
      </w:pPr>
      <w:r>
        <w:rPr>
          <w:rFonts w:hint="eastAsia" w:eastAsia="黑体"/>
          <w:sz w:val="34"/>
          <w:szCs w:val="34"/>
          <w:lang w:eastAsia="zh-CN"/>
        </w:rPr>
        <w:t>三</w:t>
      </w:r>
      <w:r>
        <w:rPr>
          <w:rFonts w:hint="eastAsia" w:eastAsia="黑体"/>
          <w:sz w:val="34"/>
          <w:szCs w:val="34"/>
        </w:rPr>
        <w:t>、</w:t>
      </w:r>
      <w:r>
        <w:rPr>
          <w:rFonts w:hint="eastAsia" w:eastAsia="黑体"/>
          <w:sz w:val="34"/>
          <w:szCs w:val="34"/>
          <w:lang w:eastAsia="zh-CN"/>
        </w:rPr>
        <w:t>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3" w:firstLineChars="200"/>
        <w:jc w:val="left"/>
        <w:rPr>
          <w:rFonts w:hint="eastAsia" w:eastAsia="仿宋_GB2312" w:cs="仿宋_GB2312"/>
          <w:sz w:val="34"/>
          <w:szCs w:val="3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（一）提高认识。</w:t>
      </w:r>
      <w:r>
        <w:rPr>
          <w:rFonts w:hint="eastAsia" w:eastAsia="仿宋_GB2312" w:cs="仿宋_GB2312"/>
          <w:sz w:val="34"/>
          <w:szCs w:val="34"/>
          <w:lang w:eastAsia="zh-CN"/>
        </w:rPr>
        <w:t>将党建、政治、作风教育融入综合教培工作，以“一支队伍、一套标准、一个手势”为总原则，打造革命化、正规化、专业化、职业化的综合执法队伍。</w:t>
      </w:r>
      <w:r>
        <w:rPr>
          <w:rFonts w:hint="eastAsia" w:eastAsia="仿宋_GB2312" w:cs="仿宋_GB2312"/>
          <w:sz w:val="34"/>
          <w:szCs w:val="34"/>
          <w:lang w:val="en-US" w:eastAsia="zh-CN"/>
        </w:rPr>
        <w:t>2024</w:t>
      </w:r>
      <w:r>
        <w:rPr>
          <w:rFonts w:hint="eastAsia" w:eastAsia="仿宋_GB2312" w:cs="仿宋_GB2312"/>
          <w:sz w:val="34"/>
          <w:szCs w:val="34"/>
          <w:lang w:eastAsia="zh-CN"/>
        </w:rPr>
        <w:t>年是本轮全系统教育培训三年行动计划冲刺年，任务满，要求高，各科室、中队要统筹业务</w:t>
      </w:r>
      <w:r>
        <w:rPr>
          <w:rFonts w:hint="eastAsia" w:eastAsia="仿宋_GB2312" w:cs="仿宋_GB2312"/>
          <w:sz w:val="34"/>
          <w:szCs w:val="34"/>
        </w:rPr>
        <w:t>工作与培训</w:t>
      </w:r>
      <w:r>
        <w:rPr>
          <w:rFonts w:hint="eastAsia" w:eastAsia="仿宋_GB2312" w:cs="仿宋_GB2312"/>
          <w:sz w:val="34"/>
          <w:szCs w:val="34"/>
          <w:lang w:eastAsia="zh-CN"/>
        </w:rPr>
        <w:t>任务之间</w:t>
      </w:r>
      <w:r>
        <w:rPr>
          <w:rFonts w:hint="eastAsia" w:eastAsia="仿宋_GB2312" w:cs="仿宋_GB2312"/>
          <w:sz w:val="34"/>
          <w:szCs w:val="34"/>
        </w:rPr>
        <w:t>关系，</w:t>
      </w:r>
      <w:r>
        <w:rPr>
          <w:rFonts w:hint="eastAsia" w:eastAsia="仿宋_GB2312" w:cs="仿宋_GB2312"/>
          <w:sz w:val="34"/>
          <w:szCs w:val="34"/>
          <w:lang w:eastAsia="zh-CN"/>
        </w:rPr>
        <w:t>加强区局与街镇、其他部门协调，形成工作合力，确保各项培训任务顺利完成。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（二）强化管理。</w:t>
      </w:r>
      <w:r>
        <w:rPr>
          <w:rFonts w:hint="eastAsia" w:eastAsia="仿宋_GB2312" w:cs="仿宋_GB2312"/>
          <w:sz w:val="34"/>
          <w:szCs w:val="34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年是</w:t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《国务院&lt;提升行政执法质量三年行动计划&gt;》的推进年，</w:t>
      </w:r>
      <w:r>
        <w:rPr>
          <w:rFonts w:hint="eastAsia" w:eastAsia="仿宋_GB2312" w:cs="仿宋_GB2312"/>
          <w:sz w:val="34"/>
          <w:szCs w:val="34"/>
          <w:lang w:val="en-US" w:eastAsia="zh-CN"/>
        </w:rPr>
        <w:t>区局将</w:t>
      </w:r>
      <w:r>
        <w:rPr>
          <w:rFonts w:hint="eastAsia" w:ascii="Times New Roman" w:hAnsi="Times New Roman" w:eastAsia="仿宋_GB2312" w:cs="仿宋_GB2312"/>
          <w:sz w:val="34"/>
          <w:szCs w:val="34"/>
        </w:rPr>
        <w:t>强</w:t>
      </w:r>
      <w:r>
        <w:rPr>
          <w:rFonts w:hint="eastAsia" w:eastAsia="仿宋_GB2312" w:cs="仿宋_GB2312"/>
          <w:sz w:val="34"/>
          <w:szCs w:val="34"/>
        </w:rPr>
        <w:t>化培训过程管理，严格落实各项培训纪律、管理规定、流程要求</w:t>
      </w:r>
      <w:r>
        <w:rPr>
          <w:rFonts w:hint="eastAsia" w:eastAsia="仿宋_GB2312" w:cs="仿宋_GB2312"/>
          <w:sz w:val="34"/>
          <w:szCs w:val="34"/>
          <w:lang w:eastAsia="zh-CN"/>
        </w:rPr>
        <w:t>，进一步规范</w:t>
      </w:r>
      <w:r>
        <w:rPr>
          <w:rFonts w:hint="eastAsia" w:eastAsia="仿宋_GB2312" w:cs="仿宋_GB2312"/>
          <w:sz w:val="34"/>
          <w:szCs w:val="34"/>
        </w:rPr>
        <w:t>。要</w:t>
      </w:r>
      <w:r>
        <w:rPr>
          <w:rFonts w:hint="eastAsia" w:eastAsia="仿宋_GB2312" w:cs="仿宋_GB2312"/>
          <w:sz w:val="34"/>
          <w:szCs w:val="34"/>
          <w:lang w:eastAsia="zh-CN"/>
        </w:rPr>
        <w:t>进一步深化</w:t>
      </w:r>
      <w:r>
        <w:rPr>
          <w:rFonts w:hint="eastAsia" w:eastAsia="仿宋_GB2312" w:cs="仿宋_GB2312"/>
          <w:sz w:val="34"/>
          <w:szCs w:val="34"/>
        </w:rPr>
        <w:t>教育培训任务执行情况与单位绩效考核、评先定优相挂钩，培训考试</w:t>
      </w:r>
      <w:r>
        <w:rPr>
          <w:rFonts w:hint="eastAsia" w:ascii="Times New Roman" w:hAnsi="Times New Roman" w:eastAsia="仿宋_GB2312" w:cs="仿宋_GB2312"/>
          <w:sz w:val="34"/>
          <w:szCs w:val="34"/>
        </w:rPr>
        <w:t>表现情况、学时学分完成情况与执法证换发、岗位交流、职级晋升、个人考核等</w:t>
      </w:r>
      <w:r>
        <w:rPr>
          <w:rFonts w:hint="eastAsia" w:eastAsia="仿宋_GB2312" w:cs="仿宋_GB2312"/>
          <w:sz w:val="34"/>
          <w:szCs w:val="34"/>
        </w:rPr>
        <w:t>相关联。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3" w:firstLineChars="200"/>
        <w:rPr>
          <w:rFonts w:hint="eastAsia" w:eastAsia="仿宋_GB2312" w:cs="仿宋_GB2312"/>
          <w:sz w:val="34"/>
          <w:szCs w:val="34"/>
          <w:lang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4"/>
          <w:szCs w:val="34"/>
          <w:lang w:val="en-US" w:eastAsia="zh-CN"/>
        </w:rPr>
        <w:t>（三）注重实效。</w:t>
      </w:r>
      <w:r>
        <w:rPr>
          <w:rFonts w:hint="eastAsia" w:eastAsia="仿宋_GB2312" w:cs="仿宋_GB2312"/>
          <w:sz w:val="34"/>
          <w:szCs w:val="34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  <w:t>年是下一轮教育培训三</w:t>
      </w:r>
      <w:r>
        <w:rPr>
          <w:rFonts w:hint="eastAsia" w:eastAsia="仿宋_GB2312" w:cs="仿宋_GB2312"/>
          <w:sz w:val="34"/>
          <w:szCs w:val="34"/>
          <w:lang w:eastAsia="zh-CN"/>
        </w:rPr>
        <w:t>年行动计划筹备年，区局将</w:t>
      </w:r>
      <w:r>
        <w:rPr>
          <w:rFonts w:hint="eastAsia" w:eastAsia="仿宋_GB2312" w:cs="仿宋_GB2312"/>
          <w:sz w:val="34"/>
          <w:szCs w:val="34"/>
        </w:rPr>
        <w:t>结合全年工作总体目标任务，</w:t>
      </w:r>
      <w:r>
        <w:rPr>
          <w:rFonts w:hint="eastAsia" w:eastAsia="仿宋_GB2312" w:cs="仿宋_GB2312"/>
          <w:sz w:val="34"/>
          <w:szCs w:val="34"/>
          <w:lang w:eastAsia="zh-CN"/>
        </w:rPr>
        <w:t>着力推进教学方式方法创新，</w:t>
      </w:r>
      <w:r>
        <w:rPr>
          <w:rFonts w:hint="eastAsia" w:eastAsia="仿宋_GB2312" w:cs="仿宋_GB2312"/>
          <w:sz w:val="34"/>
          <w:szCs w:val="34"/>
        </w:rPr>
        <w:t>将各类问题和有效处置途径效果作为事例加以示范，带动执法队伍在信访投诉处理、疑难杂症解决、社会治理创新上下功夫，出成效。</w:t>
      </w:r>
      <w:r>
        <w:rPr>
          <w:rFonts w:hint="eastAsia" w:eastAsia="仿宋_GB2312" w:cs="仿宋_GB2312"/>
          <w:sz w:val="34"/>
          <w:szCs w:val="34"/>
          <w:lang w:val="en-US" w:eastAsia="zh-CN"/>
        </w:rPr>
        <w:t>同时</w:t>
      </w:r>
      <w:r>
        <w:rPr>
          <w:rFonts w:hint="eastAsia" w:ascii="仿宋_GB2312" w:hAnsi="黑体" w:eastAsia="仿宋_GB2312" w:cs="仿宋_GB2312"/>
          <w:sz w:val="34"/>
          <w:szCs w:val="34"/>
          <w:lang w:val="en-US" w:eastAsia="zh-CN"/>
        </w:rPr>
        <w:t>注重形成样本经验，</w:t>
      </w:r>
      <w:r>
        <w:rPr>
          <w:rFonts w:hint="eastAsia" w:eastAsia="仿宋_GB2312" w:cs="仿宋_GB2312"/>
          <w:sz w:val="34"/>
          <w:szCs w:val="34"/>
        </w:rPr>
        <w:t>推广工作模式，宣传先进做法</w:t>
      </w:r>
      <w:r>
        <w:rPr>
          <w:rFonts w:hint="eastAsia" w:eastAsia="仿宋_GB2312" w:cs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rPr>
          <w:rFonts w:hint="eastAsia" w:eastAsia="仿宋_GB2312" w:cs="仿宋_GB2312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</w:pBdr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400" w:lineRule="exact"/>
        <w:ind w:left="1136" w:hanging="1096" w:hangingChars="400"/>
        <w:textAlignment w:val="auto"/>
        <w:rPr>
          <w:rFonts w:hint="default" w:ascii="仿宋_GB2312" w:hAnsi="Calibri" w:eastAsia="仿宋_GB2312" w:cs="Times New Roman"/>
          <w:spacing w:val="-11"/>
          <w:sz w:val="33"/>
          <w:szCs w:val="33"/>
          <w:lang w:val="en-US" w:eastAsia="zh-CN"/>
        </w:rPr>
      </w:pPr>
      <w:r>
        <w:rPr>
          <w:rFonts w:hint="eastAsia" w:ascii="仿宋_GB2312" w:hAnsi="宋体" w:eastAsia="仿宋_GB2312" w:cs="Times New Roman"/>
          <w:spacing w:val="-28"/>
          <w:sz w:val="33"/>
          <w:szCs w:val="33"/>
        </w:rPr>
        <w:t>抄 送：</w:t>
      </w:r>
      <w:r>
        <w:rPr>
          <w:rFonts w:hint="eastAsia" w:ascii="仿宋_GB2312" w:hAnsi="宋体" w:eastAsia="仿宋_GB2312" w:cs="Times New Roman"/>
          <w:spacing w:val="-28"/>
          <w:sz w:val="33"/>
          <w:szCs w:val="33"/>
          <w:lang w:eastAsia="zh-CN"/>
        </w:rPr>
        <w:t>市城管执法局、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lang w:val="en-US" w:eastAsia="zh-CN"/>
        </w:rPr>
        <w:t>各街镇</w:t>
      </w:r>
    </w:p>
    <w:p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08" w:firstLineChars="1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pacing w:val="-11"/>
          <w:sz w:val="33"/>
          <w:szCs w:val="33"/>
        </w:rPr>
        <w:t xml:space="preserve">上海市静安区城市管理行政执法局 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</w:rPr>
        <w:t>202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highlight w:val="none"/>
        </w:rPr>
        <w:t>年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highlight w:val="none"/>
        </w:rPr>
        <w:t>月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pacing w:val="-11"/>
          <w:sz w:val="33"/>
          <w:szCs w:val="33"/>
          <w:highlight w:val="none"/>
        </w:rPr>
        <w:t>日</w:t>
      </w:r>
      <w:r>
        <w:rPr>
          <w:rFonts w:hint="eastAsia" w:ascii="仿宋_GB2312" w:hAnsi="Calibri" w:eastAsia="仿宋_GB2312" w:cs="Times New Roman"/>
          <w:i w:val="0"/>
          <w:iCs w:val="0"/>
          <w:spacing w:val="-11"/>
          <w:sz w:val="33"/>
          <w:szCs w:val="33"/>
        </w:rPr>
        <w:t>印</w:t>
      </w:r>
      <w:r>
        <w:rPr>
          <w:rFonts w:hint="eastAsia" w:ascii="仿宋_GB2312" w:hAnsi="Calibri" w:eastAsia="仿宋_GB2312" w:cs="Times New Roman"/>
          <w:i w:val="0"/>
          <w:iCs w:val="0"/>
          <w:spacing w:val="-11"/>
          <w:sz w:val="33"/>
          <w:szCs w:val="33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3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DY5ZGMyNzkwYjY0MzMxMzk4OWI3MzI5NDc1MTcifQ=="/>
  </w:docVars>
  <w:rsids>
    <w:rsidRoot w:val="20735D1B"/>
    <w:rsid w:val="002767CC"/>
    <w:rsid w:val="021E78DD"/>
    <w:rsid w:val="025E0E64"/>
    <w:rsid w:val="04BF12B8"/>
    <w:rsid w:val="08685023"/>
    <w:rsid w:val="0BAB4503"/>
    <w:rsid w:val="0C1D3DF9"/>
    <w:rsid w:val="10F74788"/>
    <w:rsid w:val="119E00E5"/>
    <w:rsid w:val="11D337D5"/>
    <w:rsid w:val="11D649BD"/>
    <w:rsid w:val="12497799"/>
    <w:rsid w:val="153A3FEA"/>
    <w:rsid w:val="16EE2833"/>
    <w:rsid w:val="18581C12"/>
    <w:rsid w:val="18E53398"/>
    <w:rsid w:val="190312E7"/>
    <w:rsid w:val="1BF251F2"/>
    <w:rsid w:val="20335466"/>
    <w:rsid w:val="20735D1B"/>
    <w:rsid w:val="276F4533"/>
    <w:rsid w:val="27D90203"/>
    <w:rsid w:val="2A692E70"/>
    <w:rsid w:val="2BF83795"/>
    <w:rsid w:val="2F043D29"/>
    <w:rsid w:val="2FF94618"/>
    <w:rsid w:val="30343E38"/>
    <w:rsid w:val="324B7A68"/>
    <w:rsid w:val="32CA6D57"/>
    <w:rsid w:val="354E2BE4"/>
    <w:rsid w:val="38C3139F"/>
    <w:rsid w:val="395C1696"/>
    <w:rsid w:val="3E1B73CD"/>
    <w:rsid w:val="3F2A31DF"/>
    <w:rsid w:val="40A06AA8"/>
    <w:rsid w:val="41F1721C"/>
    <w:rsid w:val="444F119E"/>
    <w:rsid w:val="465224F9"/>
    <w:rsid w:val="46AA2A84"/>
    <w:rsid w:val="47BA11C7"/>
    <w:rsid w:val="482D05D2"/>
    <w:rsid w:val="492D4560"/>
    <w:rsid w:val="4D2E157E"/>
    <w:rsid w:val="51894A51"/>
    <w:rsid w:val="51AE2F21"/>
    <w:rsid w:val="550B6CA7"/>
    <w:rsid w:val="5AA6243B"/>
    <w:rsid w:val="5ABF57CE"/>
    <w:rsid w:val="5B1461D8"/>
    <w:rsid w:val="5EA81843"/>
    <w:rsid w:val="5F326055"/>
    <w:rsid w:val="631D679B"/>
    <w:rsid w:val="653D0A9B"/>
    <w:rsid w:val="65925BD8"/>
    <w:rsid w:val="65B97414"/>
    <w:rsid w:val="6C7F0230"/>
    <w:rsid w:val="6E844D94"/>
    <w:rsid w:val="715270C6"/>
    <w:rsid w:val="738338E9"/>
    <w:rsid w:val="74056C25"/>
    <w:rsid w:val="762209D8"/>
    <w:rsid w:val="769C4F3B"/>
    <w:rsid w:val="76F55F5B"/>
    <w:rsid w:val="77E6413E"/>
    <w:rsid w:val="7CB06E6F"/>
    <w:rsid w:val="7DF47235"/>
    <w:rsid w:val="7E4C7A6B"/>
    <w:rsid w:val="7FE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</w:pPr>
    <w:rPr>
      <w:rFonts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2520</Words>
  <Characters>2598</Characters>
  <Lines>0</Lines>
  <Paragraphs>0</Paragraphs>
  <TotalTime>53</TotalTime>
  <ScaleCrop>false</ScaleCrop>
  <LinksUpToDate>false</LinksUpToDate>
  <CharactersWithSpaces>2710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2021-05-26T09:16:00Z</dcterms:created>
  <dc:creator>yoga微笑的鱼</dc:creator>
  <cp:lastModifiedBy>周建红</cp:lastModifiedBy>
  <cp:lastPrinted>2024-04-02T06:58:00Z</cp:lastPrinted>
  <dcterms:modified xsi:type="dcterms:W3CDTF">2024-04-02T08:47:34Z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ED72D266F388407CA3917368A5559878_13</vt:lpwstr>
  </property>
</Properties>
</file>